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F090" w14:textId="77777777" w:rsidR="000F6176" w:rsidRDefault="000F6176" w:rsidP="007C0751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Draft Minutes </w:t>
      </w:r>
    </w:p>
    <w:p w14:paraId="68906714" w14:textId="13813528" w:rsidR="00310D62" w:rsidRPr="00310D62" w:rsidRDefault="00122FB9" w:rsidP="007C0751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</w:t>
      </w:r>
      <w:r w:rsidR="00916495">
        <w:rPr>
          <w:rFonts w:ascii="Georgia" w:hAnsi="Georgia"/>
          <w:b/>
        </w:rPr>
        <w:t>uly</w:t>
      </w:r>
      <w:r>
        <w:rPr>
          <w:rFonts w:ascii="Georgia" w:hAnsi="Georgia"/>
          <w:b/>
        </w:rPr>
        <w:t xml:space="preserve"> </w:t>
      </w:r>
      <w:r w:rsidR="00916495">
        <w:rPr>
          <w:rFonts w:ascii="Georgia" w:hAnsi="Georgia"/>
          <w:b/>
        </w:rPr>
        <w:t>19</w:t>
      </w:r>
      <w:r w:rsidR="000443E2">
        <w:rPr>
          <w:rFonts w:ascii="Georgia" w:hAnsi="Georgia"/>
          <w:b/>
        </w:rPr>
        <w:t>, 2022</w:t>
      </w:r>
    </w:p>
    <w:p w14:paraId="06CF6813" w14:textId="2F40FF7E" w:rsidR="00DB45D7" w:rsidRDefault="00DB45D7" w:rsidP="00DB45D7">
      <w:pPr>
        <w:spacing w:after="0" w:line="240" w:lineRule="auto"/>
        <w:jc w:val="center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 xml:space="preserve">Butte CPR </w:t>
      </w:r>
      <w:r w:rsidR="00FF187F">
        <w:rPr>
          <w:rFonts w:ascii="Georgia" w:hAnsi="Georgia"/>
          <w:b/>
        </w:rPr>
        <w:t>Board</w:t>
      </w:r>
      <w:r w:rsidR="00044077">
        <w:rPr>
          <w:rFonts w:ascii="Georgia" w:hAnsi="Georgia"/>
          <w:b/>
        </w:rPr>
        <w:t xml:space="preserve"> M</w:t>
      </w:r>
      <w:r w:rsidR="004A140B">
        <w:rPr>
          <w:rFonts w:ascii="Georgia" w:hAnsi="Georgia"/>
          <w:b/>
        </w:rPr>
        <w:t>eeting</w:t>
      </w:r>
    </w:p>
    <w:p w14:paraId="5DD85367" w14:textId="77777777" w:rsidR="00310D62" w:rsidRPr="00310D62" w:rsidRDefault="00310D62" w:rsidP="00310D62">
      <w:pPr>
        <w:pStyle w:val="NoSpacing"/>
        <w:jc w:val="center"/>
        <w:rPr>
          <w:rFonts w:ascii="Georgia" w:hAnsi="Georgia"/>
          <w:b/>
        </w:rPr>
      </w:pPr>
      <w:r w:rsidRPr="00310D62">
        <w:rPr>
          <w:rFonts w:ascii="Georgia" w:hAnsi="Georgia"/>
          <w:b/>
        </w:rPr>
        <w:t>7:00 p.m.</w:t>
      </w:r>
    </w:p>
    <w:p w14:paraId="54E2B103" w14:textId="73D40137" w:rsidR="00BB3EBE" w:rsidRPr="00310D62" w:rsidRDefault="000443E2" w:rsidP="00BB3EB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Butte CPR office – </w:t>
      </w:r>
      <w:r w:rsidR="007420A2">
        <w:rPr>
          <w:rFonts w:ascii="Georgia" w:hAnsi="Georgia"/>
          <w:b/>
        </w:rPr>
        <w:t xml:space="preserve">27 W. </w:t>
      </w:r>
      <w:r>
        <w:rPr>
          <w:rFonts w:ascii="Georgia" w:hAnsi="Georgia"/>
          <w:b/>
        </w:rPr>
        <w:t>Park St.</w:t>
      </w:r>
    </w:p>
    <w:p w14:paraId="7AC60974" w14:textId="77777777" w:rsidR="00DB45D7" w:rsidRDefault="00DB45D7" w:rsidP="006B0F65">
      <w:pPr>
        <w:spacing w:line="240" w:lineRule="auto"/>
        <w:rPr>
          <w:rFonts w:ascii="Georgia" w:hAnsi="Georgia"/>
          <w:b/>
          <w:bCs/>
        </w:rPr>
      </w:pPr>
    </w:p>
    <w:p w14:paraId="1A6596DD" w14:textId="34CA9856" w:rsidR="00416A15" w:rsidRDefault="00416A15" w:rsidP="006B0F65">
      <w:pPr>
        <w:spacing w:line="240" w:lineRule="auto"/>
        <w:rPr>
          <w:rFonts w:ascii="Georgia" w:hAnsi="Georgia"/>
          <w:b/>
          <w:bCs/>
        </w:rPr>
      </w:pPr>
      <w:r w:rsidRPr="006B0F65">
        <w:rPr>
          <w:rFonts w:ascii="Georgia" w:hAnsi="Georgia"/>
          <w:b/>
          <w:bCs/>
        </w:rPr>
        <w:t>Call to Order</w:t>
      </w:r>
    </w:p>
    <w:p w14:paraId="5B42EE09" w14:textId="5BBDB135" w:rsidR="00EA0501" w:rsidRPr="00EA0501" w:rsidRDefault="00EA0501" w:rsidP="006B0F65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Present: </w:t>
      </w:r>
      <w:r w:rsidRPr="00EA0501">
        <w:rPr>
          <w:rFonts w:ascii="Georgia" w:hAnsi="Georgia"/>
        </w:rPr>
        <w:t xml:space="preserve">Larry Smith, Jason </w:t>
      </w:r>
      <w:proofErr w:type="spellStart"/>
      <w:r w:rsidRPr="00EA0501">
        <w:rPr>
          <w:rFonts w:ascii="Georgia" w:hAnsi="Georgia"/>
        </w:rPr>
        <w:t>Silvernale</w:t>
      </w:r>
      <w:proofErr w:type="spellEnd"/>
      <w:r w:rsidRPr="00EA0501">
        <w:rPr>
          <w:rFonts w:ascii="Georgia" w:hAnsi="Georgia"/>
        </w:rPr>
        <w:t xml:space="preserve">, Paul </w:t>
      </w:r>
      <w:proofErr w:type="spellStart"/>
      <w:r w:rsidRPr="00EA0501">
        <w:rPr>
          <w:rFonts w:ascii="Georgia" w:hAnsi="Georgia"/>
        </w:rPr>
        <w:t>Seccomb</w:t>
      </w:r>
      <w:proofErr w:type="spellEnd"/>
      <w:r w:rsidRPr="00EA0501">
        <w:rPr>
          <w:rFonts w:ascii="Georgia" w:hAnsi="Georgia"/>
        </w:rPr>
        <w:t>, Nancy Woodruff (via Zoom) and Irene Scheidecker</w:t>
      </w:r>
    </w:p>
    <w:p w14:paraId="4659492B" w14:textId="19938F98" w:rsidR="00416A15" w:rsidRPr="006B0F65" w:rsidRDefault="00416A15" w:rsidP="00F60C1D">
      <w:pPr>
        <w:spacing w:line="240" w:lineRule="auto"/>
        <w:rPr>
          <w:rFonts w:ascii="Georgia" w:hAnsi="Georgia"/>
          <w:b/>
          <w:bCs/>
        </w:rPr>
      </w:pPr>
      <w:r w:rsidRPr="006B0F65">
        <w:rPr>
          <w:rFonts w:ascii="Georgia" w:hAnsi="Georgia"/>
          <w:b/>
          <w:bCs/>
        </w:rPr>
        <w:t xml:space="preserve">Approval of </w:t>
      </w:r>
      <w:r w:rsidR="00A95F91">
        <w:rPr>
          <w:rFonts w:ascii="Georgia" w:hAnsi="Georgia"/>
          <w:b/>
          <w:bCs/>
        </w:rPr>
        <w:t>Previous</w:t>
      </w:r>
      <w:r w:rsidR="00343F14">
        <w:rPr>
          <w:rFonts w:ascii="Georgia" w:hAnsi="Georgia"/>
          <w:b/>
          <w:bCs/>
        </w:rPr>
        <w:t xml:space="preserve"> </w:t>
      </w:r>
      <w:r w:rsidRPr="006B0F65">
        <w:rPr>
          <w:rFonts w:ascii="Georgia" w:hAnsi="Georgia"/>
          <w:b/>
          <w:bCs/>
        </w:rPr>
        <w:t>meeting minutes</w:t>
      </w:r>
      <w:r w:rsidR="00EA0501">
        <w:rPr>
          <w:rFonts w:ascii="Georgia" w:hAnsi="Georgia"/>
          <w:b/>
          <w:bCs/>
        </w:rPr>
        <w:t xml:space="preserve"> - </w:t>
      </w:r>
      <w:r w:rsidR="00EA0501" w:rsidRPr="00EA0501">
        <w:rPr>
          <w:rFonts w:ascii="Georgia" w:hAnsi="Georgia"/>
        </w:rPr>
        <w:t>app</w:t>
      </w:r>
      <w:r w:rsidR="00EA0501">
        <w:rPr>
          <w:rFonts w:ascii="Georgia" w:hAnsi="Georgia"/>
        </w:rPr>
        <w:t>ro</w:t>
      </w:r>
      <w:r w:rsidR="00EA0501" w:rsidRPr="00EA0501">
        <w:rPr>
          <w:rFonts w:ascii="Georgia" w:hAnsi="Georgia"/>
        </w:rPr>
        <w:t>ved</w:t>
      </w:r>
    </w:p>
    <w:p w14:paraId="6A58C8E4" w14:textId="5E01EC50" w:rsidR="00D31EFE" w:rsidRDefault="00416A15" w:rsidP="00D31EFE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Public comment</w:t>
      </w:r>
      <w:r>
        <w:rPr>
          <w:rFonts w:ascii="Georgia" w:hAnsi="Georgia"/>
          <w:b/>
        </w:rPr>
        <w:t xml:space="preserve"> (limited to 5 minutes per person)</w:t>
      </w:r>
    </w:p>
    <w:p w14:paraId="146261AE" w14:textId="77777777" w:rsidR="000443E2" w:rsidRDefault="000443E2" w:rsidP="000443E2">
      <w:pPr>
        <w:spacing w:after="0" w:line="240" w:lineRule="auto"/>
        <w:rPr>
          <w:rFonts w:ascii="Georgia" w:hAnsi="Georgia"/>
          <w:b/>
        </w:rPr>
      </w:pPr>
    </w:p>
    <w:p w14:paraId="3BB99091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Reports/Announcements:</w:t>
      </w:r>
    </w:p>
    <w:p w14:paraId="58EBD96D" w14:textId="3CCE969B" w:rsidR="00416A15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Treasurer’s report</w:t>
      </w:r>
      <w:r w:rsidR="00BB2412">
        <w:rPr>
          <w:rFonts w:ascii="Georgia" w:hAnsi="Georgia"/>
        </w:rPr>
        <w:t xml:space="preserve"> </w:t>
      </w:r>
      <w:r w:rsidR="00EA0501">
        <w:rPr>
          <w:rFonts w:ascii="Georgia" w:hAnsi="Georgia"/>
        </w:rPr>
        <w:t>- attached</w:t>
      </w:r>
    </w:p>
    <w:p w14:paraId="6B0100C3" w14:textId="6347D59B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 xml:space="preserve">Council of Commissioners meetings </w:t>
      </w:r>
      <w:r w:rsidR="00EA0501">
        <w:rPr>
          <w:rFonts w:ascii="Georgia" w:hAnsi="Georgia"/>
        </w:rPr>
        <w:t>–item</w:t>
      </w:r>
      <w:r w:rsidR="004743B5">
        <w:rPr>
          <w:rFonts w:ascii="Georgia" w:hAnsi="Georgia"/>
        </w:rPr>
        <w:t>s</w:t>
      </w:r>
      <w:r w:rsidR="00EA0501">
        <w:rPr>
          <w:rFonts w:ascii="Georgia" w:hAnsi="Georgia"/>
        </w:rPr>
        <w:t xml:space="preserve"> of note</w:t>
      </w:r>
      <w:r w:rsidR="004743B5">
        <w:rPr>
          <w:rFonts w:ascii="Georgia" w:hAnsi="Georgia"/>
        </w:rPr>
        <w:t xml:space="preserve"> are:</w:t>
      </w:r>
      <w:r w:rsidR="00EA0501">
        <w:rPr>
          <w:rFonts w:ascii="Georgia" w:hAnsi="Georgia"/>
        </w:rPr>
        <w:t xml:space="preserve"> the signing of the contract for the renovation of the Basin Creek caretaker’s cottage</w:t>
      </w:r>
      <w:r w:rsidR="004743B5">
        <w:rPr>
          <w:rFonts w:ascii="Georgia" w:hAnsi="Georgia"/>
        </w:rPr>
        <w:t xml:space="preserve">; scheduling an opening of RFPs for </w:t>
      </w:r>
      <w:proofErr w:type="spellStart"/>
      <w:r w:rsidR="004743B5">
        <w:rPr>
          <w:rFonts w:ascii="Georgia" w:hAnsi="Georgia"/>
        </w:rPr>
        <w:t>Finlen</w:t>
      </w:r>
      <w:proofErr w:type="spellEnd"/>
      <w:r w:rsidR="004743B5">
        <w:rPr>
          <w:rFonts w:ascii="Georgia" w:hAnsi="Georgia"/>
        </w:rPr>
        <w:t xml:space="preserve"> Hotel Fire Suppression Project funded by a CDBG-ED grant; and request to purchase a BSB-owned parking lot property on Quartz Street by Jeff Riggs of the Thornton Group.</w:t>
      </w:r>
    </w:p>
    <w:p w14:paraId="208734B3" w14:textId="11FB8E7F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URA meeting</w:t>
      </w:r>
      <w:r w:rsidR="00EA0501">
        <w:rPr>
          <w:rFonts w:ascii="Georgia" w:hAnsi="Georgia"/>
        </w:rPr>
        <w:t xml:space="preserve"> – special meeting on July 17 was for approving </w:t>
      </w:r>
      <w:proofErr w:type="spellStart"/>
      <w:r w:rsidR="00EA0501">
        <w:rPr>
          <w:rFonts w:ascii="Georgia" w:hAnsi="Georgia"/>
        </w:rPr>
        <w:t>Staack’s</w:t>
      </w:r>
      <w:proofErr w:type="spellEnd"/>
      <w:r w:rsidR="00EA0501">
        <w:rPr>
          <w:rFonts w:ascii="Georgia" w:hAnsi="Georgia"/>
        </w:rPr>
        <w:t xml:space="preserve"> </w:t>
      </w:r>
      <w:r w:rsidR="004743B5">
        <w:rPr>
          <w:rFonts w:ascii="Georgia" w:hAnsi="Georgia"/>
        </w:rPr>
        <w:t xml:space="preserve">request </w:t>
      </w:r>
      <w:r w:rsidR="00EA0501">
        <w:rPr>
          <w:rFonts w:ascii="Georgia" w:hAnsi="Georgia"/>
        </w:rPr>
        <w:t>not to save the ghost sign because of a serious crack in the foundation wall. No public comment is allowed until after the decision has been made</w:t>
      </w:r>
      <w:r w:rsidR="004743B5">
        <w:rPr>
          <w:rFonts w:ascii="Georgia" w:hAnsi="Georgia"/>
        </w:rPr>
        <w:t xml:space="preserve">, and </w:t>
      </w:r>
      <w:proofErr w:type="spellStart"/>
      <w:r w:rsidR="004743B5">
        <w:rPr>
          <w:rFonts w:ascii="Georgia" w:hAnsi="Georgia"/>
        </w:rPr>
        <w:t>Staack’s</w:t>
      </w:r>
      <w:proofErr w:type="spellEnd"/>
      <w:r w:rsidR="004743B5">
        <w:rPr>
          <w:rFonts w:ascii="Georgia" w:hAnsi="Georgia"/>
        </w:rPr>
        <w:t xml:space="preserve"> was given permission.</w:t>
      </w:r>
    </w:p>
    <w:p w14:paraId="483F0781" w14:textId="6DEECD73" w:rsidR="00F80959" w:rsidRDefault="00416A15" w:rsidP="00F80959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HPC meeting</w:t>
      </w:r>
      <w:r w:rsidR="004743B5">
        <w:rPr>
          <w:rFonts w:ascii="Georgia" w:hAnsi="Georgia"/>
        </w:rPr>
        <w:t xml:space="preserve"> – no report</w:t>
      </w:r>
    </w:p>
    <w:p w14:paraId="7F6157B8" w14:textId="4FAAFBE8" w:rsidR="00706A92" w:rsidRDefault="0025590B" w:rsidP="00310D62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Website </w:t>
      </w:r>
      <w:r w:rsidR="00EA0501">
        <w:rPr>
          <w:rFonts w:ascii="Georgia" w:hAnsi="Georgia"/>
        </w:rPr>
        <w:t>– Irene has reviewed and noted items that need to be updated</w:t>
      </w:r>
      <w:r w:rsidR="004743B5">
        <w:rPr>
          <w:rFonts w:ascii="Georgia" w:hAnsi="Georgia"/>
        </w:rPr>
        <w:t>, including calendar, dates of meetings added, change contact info from Noor to Irene, add new photo(s) to the salvage page, update the Story of Butte page (add a link to download), update the HPC contacts on the Advocacy page</w:t>
      </w:r>
    </w:p>
    <w:p w14:paraId="546F2EF2" w14:textId="77777777" w:rsidR="00BB2412" w:rsidRPr="00310D62" w:rsidRDefault="00BB2412" w:rsidP="00BB2412">
      <w:pPr>
        <w:spacing w:after="0" w:line="240" w:lineRule="auto"/>
        <w:ind w:left="720"/>
        <w:rPr>
          <w:rFonts w:ascii="Georgia" w:hAnsi="Georgia"/>
        </w:rPr>
      </w:pPr>
    </w:p>
    <w:p w14:paraId="4868D28E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Committee Reports:</w:t>
      </w:r>
    </w:p>
    <w:p w14:paraId="5AF5C868" w14:textId="0E6E8DD1" w:rsidR="00FF187F" w:rsidRDefault="006A0EDC" w:rsidP="00F60C1D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BHT </w:t>
      </w:r>
      <w:r w:rsidR="00FF187F">
        <w:rPr>
          <w:rFonts w:ascii="Georgia" w:hAnsi="Georgia"/>
        </w:rPr>
        <w:t>Revolving Fund</w:t>
      </w:r>
      <w:r w:rsidR="00EA0501">
        <w:rPr>
          <w:rFonts w:ascii="Georgia" w:hAnsi="Georgia"/>
        </w:rPr>
        <w:t xml:space="preserve"> – Patriot Builders are working on the foundation, setting posts; Beckman will do sewer and water in August; roof will go on then too; Renouard and Gallus are working on window restoration in their shop</w:t>
      </w:r>
    </w:p>
    <w:p w14:paraId="790CEB61" w14:textId="15177C00" w:rsidR="00583D64" w:rsidRDefault="003B48D0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HIP</w:t>
      </w:r>
      <w:r w:rsidR="00EA0501">
        <w:rPr>
          <w:rFonts w:ascii="Georgia" w:hAnsi="Georgia"/>
        </w:rPr>
        <w:t xml:space="preserve"> – Robert Edwards found his HIP sign, so now we have three; painting has started on the house on Georgia Street and they requested a sign be put up in their yard.</w:t>
      </w:r>
    </w:p>
    <w:p w14:paraId="4FC983A9" w14:textId="4977156C" w:rsidR="002F6A59" w:rsidRDefault="002F6A59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Salvage</w:t>
      </w:r>
      <w:r w:rsidR="00EA0501">
        <w:rPr>
          <w:rFonts w:ascii="Georgia" w:hAnsi="Georgia"/>
        </w:rPr>
        <w:t xml:space="preserve"> – upcoming sale on July 20</w:t>
      </w:r>
    </w:p>
    <w:p w14:paraId="6FC2F5CB" w14:textId="2AA76DE1" w:rsidR="00F80959" w:rsidRDefault="008F62CB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Story of Butte</w:t>
      </w:r>
      <w:r w:rsidR="00EA0501">
        <w:rPr>
          <w:rFonts w:ascii="Georgia" w:hAnsi="Georgia"/>
        </w:rPr>
        <w:t xml:space="preserve"> – successfully launched, and are close to having two more tours added; a meeting next week will be looking at the next step – how to spend the Humanities Montana grant</w:t>
      </w:r>
      <w:r w:rsidR="004743B5">
        <w:rPr>
          <w:rFonts w:ascii="Georgia" w:hAnsi="Georgia"/>
        </w:rPr>
        <w:t>. Larry inquired about metrics – there have been 1700 users since the launch in July. There have been spikes related to social media</w:t>
      </w:r>
      <w:r w:rsidR="009F0CC4">
        <w:rPr>
          <w:rFonts w:ascii="Georgia" w:hAnsi="Georgia"/>
        </w:rPr>
        <w:t xml:space="preserve"> and press. They might need a new QR code that directs to the App Store and is smart enough to know if the device is Apple or Android.</w:t>
      </w:r>
    </w:p>
    <w:p w14:paraId="524C1EEE" w14:textId="538A781C" w:rsidR="00A33A2A" w:rsidRDefault="00A33A2A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D2D</w:t>
      </w:r>
      <w:r w:rsidR="00916495">
        <w:rPr>
          <w:rFonts w:ascii="Georgia" w:hAnsi="Georgia"/>
        </w:rPr>
        <w:t xml:space="preserve"> </w:t>
      </w:r>
      <w:r w:rsidR="004743B5">
        <w:rPr>
          <w:rFonts w:ascii="Georgia" w:hAnsi="Georgia"/>
        </w:rPr>
        <w:t>–</w:t>
      </w:r>
      <w:r w:rsidR="00916495">
        <w:rPr>
          <w:rFonts w:ascii="Georgia" w:hAnsi="Georgia"/>
        </w:rPr>
        <w:t xml:space="preserve"> wrap</w:t>
      </w:r>
      <w:r w:rsidR="004743B5">
        <w:rPr>
          <w:rFonts w:ascii="Georgia" w:hAnsi="Georgia"/>
        </w:rPr>
        <w:t>-up meeting will be on Thursday, July 21 at Kelly Rose’s house</w:t>
      </w:r>
    </w:p>
    <w:p w14:paraId="06AA7D4E" w14:textId="4C1962AD" w:rsidR="002F6A59" w:rsidRPr="002F6A59" w:rsidRDefault="00556575" w:rsidP="002F6A59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Grant match reporting</w:t>
      </w:r>
      <w:r w:rsidR="004743B5">
        <w:rPr>
          <w:rFonts w:ascii="Georgia" w:hAnsi="Georgia"/>
        </w:rPr>
        <w:t xml:space="preserve"> – submit hours to Irene</w:t>
      </w:r>
    </w:p>
    <w:p w14:paraId="4FDA7487" w14:textId="77777777" w:rsidR="0031046A" w:rsidRDefault="0031046A" w:rsidP="00CE6E58">
      <w:pPr>
        <w:spacing w:after="0" w:line="240" w:lineRule="auto"/>
        <w:ind w:left="360"/>
        <w:rPr>
          <w:rFonts w:ascii="Georgia" w:hAnsi="Georgia"/>
        </w:rPr>
      </w:pPr>
    </w:p>
    <w:p w14:paraId="6C564013" w14:textId="2FC389F0" w:rsidR="0010252A" w:rsidRDefault="008432D1" w:rsidP="008432D1">
      <w:pPr>
        <w:pStyle w:val="ListParagraph"/>
        <w:spacing w:after="0" w:line="240" w:lineRule="auto"/>
        <w:ind w:left="0"/>
        <w:rPr>
          <w:rFonts w:ascii="Georgia" w:hAnsi="Georgia"/>
          <w:b/>
        </w:rPr>
      </w:pPr>
      <w:r w:rsidRPr="008432D1">
        <w:rPr>
          <w:rFonts w:ascii="Georgia" w:hAnsi="Georgia"/>
          <w:b/>
        </w:rPr>
        <w:t>New Business:</w:t>
      </w:r>
    </w:p>
    <w:p w14:paraId="7B8F8517" w14:textId="40731D59" w:rsidR="008F62CB" w:rsidRPr="009F0CC4" w:rsidRDefault="009F0CC4" w:rsidP="009F0CC4">
      <w:pPr>
        <w:pStyle w:val="ListParagraph"/>
        <w:numPr>
          <w:ilvl w:val="0"/>
          <w:numId w:val="25"/>
        </w:numPr>
        <w:spacing w:after="0" w:line="240" w:lineRule="auto"/>
        <w:rPr>
          <w:rFonts w:ascii="Georgia" w:hAnsi="Georgia"/>
          <w:bCs/>
        </w:rPr>
      </w:pPr>
      <w:r w:rsidRPr="009F0CC4">
        <w:rPr>
          <w:rFonts w:ascii="Georgia" w:hAnsi="Georgia"/>
          <w:bCs/>
        </w:rPr>
        <w:t>What do members get for their membership? Suggestions for doing more included:</w:t>
      </w:r>
    </w:p>
    <w:p w14:paraId="6E499B66" w14:textId="6C7F5398" w:rsidR="009F0CC4" w:rsidRDefault="009F0CC4" w:rsidP="009F0CC4">
      <w:pPr>
        <w:pStyle w:val="ListParagraph"/>
        <w:numPr>
          <w:ilvl w:val="1"/>
          <w:numId w:val="25"/>
        </w:numPr>
        <w:spacing w:after="0" w:line="240" w:lineRule="auto"/>
        <w:rPr>
          <w:rFonts w:ascii="Georgia" w:hAnsi="Georgia"/>
          <w:bCs/>
        </w:rPr>
      </w:pPr>
      <w:proofErr w:type="gramStart"/>
      <w:r w:rsidRPr="009F0CC4">
        <w:rPr>
          <w:rFonts w:ascii="Georgia" w:hAnsi="Georgia"/>
          <w:bCs/>
        </w:rPr>
        <w:lastRenderedPageBreak/>
        <w:t>1 page</w:t>
      </w:r>
      <w:proofErr w:type="gramEnd"/>
      <w:r w:rsidRPr="009F0CC4">
        <w:rPr>
          <w:rFonts w:ascii="Georgia" w:hAnsi="Georgia"/>
          <w:bCs/>
        </w:rPr>
        <w:t xml:space="preserve"> monthly newsletter sent via Vertical Response (first one could report on results of D2D)</w:t>
      </w:r>
    </w:p>
    <w:p w14:paraId="6BB6E128" w14:textId="51D92E79" w:rsidR="009F0CC4" w:rsidRDefault="009F0CC4" w:rsidP="009F0CC4">
      <w:pPr>
        <w:pStyle w:val="ListParagraph"/>
        <w:numPr>
          <w:ilvl w:val="1"/>
          <w:numId w:val="25"/>
        </w:num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Lending library</w:t>
      </w:r>
    </w:p>
    <w:p w14:paraId="13D8AB94" w14:textId="03E4B612" w:rsidR="009F0CC4" w:rsidRDefault="009F0CC4" w:rsidP="009F0CC4">
      <w:pPr>
        <w:pStyle w:val="ListParagraph"/>
        <w:numPr>
          <w:ilvl w:val="1"/>
          <w:numId w:val="25"/>
        </w:num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Meet &amp; greet at Slainte -monthly/quarterly</w:t>
      </w:r>
    </w:p>
    <w:p w14:paraId="782981B0" w14:textId="178BB260" w:rsidR="009F0CC4" w:rsidRPr="009F0CC4" w:rsidRDefault="009F0CC4" w:rsidP="009F0CC4">
      <w:pPr>
        <w:pStyle w:val="ListParagraph"/>
        <w:numPr>
          <w:ilvl w:val="0"/>
          <w:numId w:val="25"/>
        </w:numPr>
        <w:spacing w:after="0" w:line="240" w:lineRule="auto"/>
        <w:rPr>
          <w:rFonts w:ascii="Georgia" w:hAnsi="Georgia"/>
          <w:bCs/>
        </w:rPr>
      </w:pPr>
      <w:r w:rsidRPr="009F0CC4">
        <w:rPr>
          <w:rFonts w:ascii="Georgia" w:hAnsi="Georgia"/>
          <w:bCs/>
        </w:rPr>
        <w:t>Cultural Trust Grant due on August 1 – Irene is working on it</w:t>
      </w:r>
    </w:p>
    <w:p w14:paraId="56C0318C" w14:textId="77777777" w:rsidR="008D0CB9" w:rsidRPr="009F0CC4" w:rsidRDefault="008D0CB9" w:rsidP="00601D3C">
      <w:pPr>
        <w:pStyle w:val="ListParagraph"/>
        <w:spacing w:after="0" w:line="240" w:lineRule="auto"/>
        <w:rPr>
          <w:rFonts w:ascii="Georgia" w:hAnsi="Georgia"/>
          <w:bCs/>
        </w:rPr>
      </w:pPr>
    </w:p>
    <w:p w14:paraId="30F48677" w14:textId="77777777" w:rsidR="00416A1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Old Business:</w:t>
      </w:r>
    </w:p>
    <w:p w14:paraId="17F94E67" w14:textId="30C9AE3A" w:rsidR="008F62CB" w:rsidRDefault="008F62CB" w:rsidP="00A33A2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Update list of orange-tagged buildings</w:t>
      </w:r>
    </w:p>
    <w:p w14:paraId="7F214B7D" w14:textId="77777777" w:rsidR="00F80959" w:rsidRDefault="00F80959" w:rsidP="00F80959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 w:rsidRPr="008D3D05">
        <w:rPr>
          <w:rFonts w:ascii="Georgia" w:hAnsi="Georgia"/>
        </w:rPr>
        <w:t>Look into Google Meet instead of Zoom</w:t>
      </w:r>
    </w:p>
    <w:p w14:paraId="2D0656E0" w14:textId="77777777" w:rsidR="002A28BD" w:rsidRPr="002A28BD" w:rsidRDefault="002A28BD" w:rsidP="002A28BD">
      <w:pPr>
        <w:spacing w:after="0" w:line="240" w:lineRule="auto"/>
        <w:rPr>
          <w:rFonts w:ascii="Georgia" w:hAnsi="Georgia"/>
          <w:b/>
        </w:rPr>
      </w:pPr>
    </w:p>
    <w:p w14:paraId="673F8B77" w14:textId="77777777" w:rsidR="00310D62" w:rsidRPr="00BE07B0" w:rsidRDefault="00310D62" w:rsidP="00310D62">
      <w:pPr>
        <w:pStyle w:val="ListParagraph"/>
        <w:spacing w:after="0" w:line="240" w:lineRule="auto"/>
        <w:rPr>
          <w:rFonts w:ascii="Georgia" w:hAnsi="Georgia"/>
        </w:rPr>
      </w:pPr>
    </w:p>
    <w:p w14:paraId="34CA4FD7" w14:textId="7BC8DB6F" w:rsidR="007E1F8B" w:rsidRDefault="00310D62" w:rsidP="009E1E2A">
      <w:pPr>
        <w:rPr>
          <w:rFonts w:ascii="Georgia" w:hAnsi="Georgia"/>
        </w:rPr>
      </w:pPr>
      <w:r>
        <w:rPr>
          <w:rFonts w:ascii="Georgia" w:hAnsi="Georgia"/>
          <w:b/>
        </w:rPr>
        <w:t>Next board meeting</w:t>
      </w:r>
      <w:r w:rsidR="00DB45D7">
        <w:rPr>
          <w:rFonts w:ascii="Georgia" w:hAnsi="Georgia"/>
          <w:b/>
        </w:rPr>
        <w:t>s</w:t>
      </w:r>
      <w:r w:rsidR="00416A15" w:rsidRPr="006B0F65">
        <w:rPr>
          <w:rFonts w:ascii="Georgia" w:hAnsi="Georgia"/>
        </w:rPr>
        <w:t xml:space="preserve"> –</w:t>
      </w:r>
      <w:r w:rsidR="00F80959">
        <w:rPr>
          <w:rFonts w:ascii="Georgia" w:hAnsi="Georgia"/>
        </w:rPr>
        <w:t>August 16, Sept. 20, Oct. 18, Nov. 15, Dec. 20</w:t>
      </w:r>
    </w:p>
    <w:p w14:paraId="31E5B02D" w14:textId="6E792977" w:rsidR="00E60A6B" w:rsidRDefault="007E1F8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C3055DE" w14:textId="77777777" w:rsidR="00BD37CE" w:rsidRDefault="00BD37CE" w:rsidP="00BD37CE">
      <w:pPr>
        <w:pStyle w:val="Heading1"/>
      </w:pPr>
      <w:r>
        <w:lastRenderedPageBreak/>
        <w:t>Butte Citizens for Preservation and Revitalization</w:t>
      </w:r>
    </w:p>
    <w:p w14:paraId="755AFF1C" w14:textId="77777777" w:rsidR="00BD37CE" w:rsidRDefault="00BD37CE" w:rsidP="00BD37CE">
      <w:pPr>
        <w:pStyle w:val="Heading1"/>
      </w:pPr>
      <w:r>
        <w:t>Treasurer’s Report</w:t>
      </w:r>
    </w:p>
    <w:p w14:paraId="3EF9D0BB" w14:textId="77777777" w:rsidR="00BD37CE" w:rsidRDefault="00BD37CE" w:rsidP="00BD37CE">
      <w:pPr>
        <w:pStyle w:val="Heading1"/>
      </w:pPr>
      <w:r>
        <w:t>Period June 22 through July 19, 2022</w:t>
      </w:r>
    </w:p>
    <w:p w14:paraId="10C95DA5" w14:textId="77777777" w:rsidR="00BD37CE" w:rsidRPr="005163A6" w:rsidRDefault="00BD37CE" w:rsidP="00BD37CE">
      <w:pPr>
        <w:pStyle w:val="BodyText"/>
        <w:rPr>
          <w:sz w:val="22"/>
        </w:rPr>
      </w:pPr>
      <w:r w:rsidRPr="005163A6">
        <w:rPr>
          <w:sz w:val="22"/>
        </w:rPr>
        <w:t>Deposits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D37CE" w:rsidRPr="005163A6" w14:paraId="537D4966" w14:textId="77777777" w:rsidTr="00CC2D1D">
        <w:tc>
          <w:tcPr>
            <w:tcW w:w="1705" w:type="dxa"/>
            <w:tcBorders>
              <w:bottom w:val="single" w:sz="4" w:space="0" w:color="auto"/>
            </w:tcBorders>
          </w:tcPr>
          <w:p w14:paraId="181A2FE7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Amount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3FAC63CB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Source</w:t>
            </w:r>
          </w:p>
        </w:tc>
      </w:tr>
      <w:tr w:rsidR="00BD37CE" w:rsidRPr="005163A6" w14:paraId="7A902D33" w14:textId="77777777" w:rsidTr="00CC2D1D">
        <w:tc>
          <w:tcPr>
            <w:tcW w:w="1705" w:type="dxa"/>
            <w:tcBorders>
              <w:bottom w:val="single" w:sz="4" w:space="0" w:color="auto"/>
            </w:tcBorders>
          </w:tcPr>
          <w:p w14:paraId="0875A20E" w14:textId="77777777" w:rsidR="00BD37CE" w:rsidRPr="005163A6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2,350.00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23D697F4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Dust to Dazzle silent auction</w:t>
            </w:r>
          </w:p>
        </w:tc>
      </w:tr>
      <w:tr w:rsidR="00BD37CE" w:rsidRPr="005163A6" w14:paraId="4D17ED0C" w14:textId="77777777" w:rsidTr="00CC2D1D">
        <w:tc>
          <w:tcPr>
            <w:tcW w:w="1705" w:type="dxa"/>
            <w:tcBorders>
              <w:bottom w:val="single" w:sz="4" w:space="0" w:color="auto"/>
            </w:tcBorders>
          </w:tcPr>
          <w:p w14:paraId="0822FB43" w14:textId="77777777" w:rsidR="00BD37CE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7,220.00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410DE506" w14:textId="77777777" w:rsidR="00BD37CE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Dust to Dazzle ticket sales</w:t>
            </w:r>
          </w:p>
        </w:tc>
      </w:tr>
      <w:tr w:rsidR="00BD37CE" w:rsidRPr="005163A6" w14:paraId="40433DF4" w14:textId="77777777" w:rsidTr="00CC2D1D">
        <w:tc>
          <w:tcPr>
            <w:tcW w:w="1705" w:type="dxa"/>
            <w:tcBorders>
              <w:bottom w:val="single" w:sz="4" w:space="0" w:color="auto"/>
            </w:tcBorders>
          </w:tcPr>
          <w:p w14:paraId="29EDC558" w14:textId="77777777" w:rsidR="00BD37CE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2,000.00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21B88E99" w14:textId="77777777" w:rsidR="00BD37CE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Cultural Trust grant: Butte Historic Trust</w:t>
            </w:r>
          </w:p>
        </w:tc>
      </w:tr>
      <w:tr w:rsidR="00BD37CE" w:rsidRPr="005163A6" w14:paraId="5F4AD99F" w14:textId="77777777" w:rsidTr="00CC2D1D">
        <w:tc>
          <w:tcPr>
            <w:tcW w:w="1705" w:type="dxa"/>
            <w:tcBorders>
              <w:bottom w:val="single" w:sz="4" w:space="0" w:color="auto"/>
            </w:tcBorders>
          </w:tcPr>
          <w:p w14:paraId="6EAC8038" w14:textId="77777777" w:rsidR="00BD37CE" w:rsidRPr="005163A6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121.00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6ABFE897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sa</w:t>
            </w:r>
            <w:r>
              <w:rPr>
                <w:sz w:val="22"/>
              </w:rPr>
              <w:t>l</w:t>
            </w:r>
            <w:r w:rsidRPr="005163A6">
              <w:rPr>
                <w:sz w:val="22"/>
              </w:rPr>
              <w:t>vage sale</w:t>
            </w:r>
            <w:r>
              <w:rPr>
                <w:sz w:val="22"/>
              </w:rPr>
              <w:t>s</w:t>
            </w:r>
          </w:p>
        </w:tc>
      </w:tr>
      <w:tr w:rsidR="00BD37CE" w:rsidRPr="005163A6" w14:paraId="5CABF71F" w14:textId="77777777" w:rsidTr="00CC2D1D">
        <w:tc>
          <w:tcPr>
            <w:tcW w:w="1705" w:type="dxa"/>
            <w:tcBorders>
              <w:bottom w:val="single" w:sz="4" w:space="0" w:color="auto"/>
            </w:tcBorders>
          </w:tcPr>
          <w:p w14:paraId="558B90C3" w14:textId="77777777" w:rsidR="00BD37CE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663D672C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stained glass booklet sales</w:t>
            </w:r>
          </w:p>
        </w:tc>
      </w:tr>
      <w:tr w:rsidR="00BD37CE" w:rsidRPr="005163A6" w14:paraId="55985AE4" w14:textId="77777777" w:rsidTr="00CC2D1D">
        <w:tc>
          <w:tcPr>
            <w:tcW w:w="1705" w:type="dxa"/>
            <w:tcBorders>
              <w:top w:val="triple" w:sz="4" w:space="0" w:color="auto"/>
            </w:tcBorders>
          </w:tcPr>
          <w:p w14:paraId="4C344EEE" w14:textId="77777777" w:rsidR="00BD37CE" w:rsidRPr="005163A6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$11,741.00</w:t>
            </w:r>
          </w:p>
        </w:tc>
        <w:tc>
          <w:tcPr>
            <w:tcW w:w="7645" w:type="dxa"/>
            <w:tcBorders>
              <w:top w:val="triple" w:sz="4" w:space="0" w:color="auto"/>
            </w:tcBorders>
          </w:tcPr>
          <w:p w14:paraId="0DC4E52B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</w:tbl>
    <w:p w14:paraId="50E3C67A" w14:textId="77777777" w:rsidR="00BD37CE" w:rsidRPr="005163A6" w:rsidRDefault="00BD37CE" w:rsidP="00BD37CE">
      <w:pPr>
        <w:pStyle w:val="BodyText"/>
        <w:rPr>
          <w:sz w:val="22"/>
        </w:rPr>
      </w:pPr>
    </w:p>
    <w:p w14:paraId="4D421481" w14:textId="77777777" w:rsidR="00BD37CE" w:rsidRPr="005163A6" w:rsidRDefault="00BD37CE" w:rsidP="00BD37CE">
      <w:pPr>
        <w:pStyle w:val="BodyText"/>
        <w:rPr>
          <w:sz w:val="22"/>
        </w:rPr>
      </w:pPr>
      <w:r w:rsidRPr="005163A6">
        <w:rPr>
          <w:sz w:val="22"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D37CE" w:rsidRPr="005163A6" w14:paraId="722CC03C" w14:textId="77777777" w:rsidTr="00CC2D1D">
        <w:tc>
          <w:tcPr>
            <w:tcW w:w="1705" w:type="dxa"/>
          </w:tcPr>
          <w:p w14:paraId="7B197F10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Amount</w:t>
            </w:r>
          </w:p>
        </w:tc>
        <w:tc>
          <w:tcPr>
            <w:tcW w:w="7645" w:type="dxa"/>
          </w:tcPr>
          <w:p w14:paraId="1C2C7FBA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Purpose</w:t>
            </w:r>
          </w:p>
        </w:tc>
      </w:tr>
      <w:tr w:rsidR="00BD37CE" w:rsidRPr="005163A6" w14:paraId="5BBA8527" w14:textId="77777777" w:rsidTr="00CC2D1D">
        <w:tc>
          <w:tcPr>
            <w:tcW w:w="1705" w:type="dxa"/>
          </w:tcPr>
          <w:p w14:paraId="39D7AA72" w14:textId="77777777" w:rsidR="00BD37CE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-325.00</w:t>
            </w:r>
          </w:p>
        </w:tc>
        <w:tc>
          <w:tcPr>
            <w:tcW w:w="7645" w:type="dxa"/>
          </w:tcPr>
          <w:p w14:paraId="21B29994" w14:textId="77777777" w:rsidR="00BD37CE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admin. coordinator</w:t>
            </w:r>
          </w:p>
        </w:tc>
      </w:tr>
      <w:tr w:rsidR="00BD37CE" w:rsidRPr="005163A6" w14:paraId="3A9E532A" w14:textId="77777777" w:rsidTr="00CC2D1D">
        <w:tc>
          <w:tcPr>
            <w:tcW w:w="1705" w:type="dxa"/>
          </w:tcPr>
          <w:p w14:paraId="1D930076" w14:textId="77777777" w:rsidR="00BD37CE" w:rsidRPr="005163A6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-100.00</w:t>
            </w:r>
          </w:p>
        </w:tc>
        <w:tc>
          <w:tcPr>
            <w:tcW w:w="7645" w:type="dxa"/>
          </w:tcPr>
          <w:p w14:paraId="2B8579CC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rent</w:t>
            </w:r>
          </w:p>
        </w:tc>
      </w:tr>
      <w:tr w:rsidR="00BD37CE" w:rsidRPr="005163A6" w14:paraId="2472530A" w14:textId="77777777" w:rsidTr="00CC2D1D">
        <w:tc>
          <w:tcPr>
            <w:tcW w:w="1705" w:type="dxa"/>
          </w:tcPr>
          <w:p w14:paraId="66E933BE" w14:textId="77777777" w:rsidR="00BD37CE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-87.98</w:t>
            </w:r>
          </w:p>
        </w:tc>
        <w:tc>
          <w:tcPr>
            <w:tcW w:w="7645" w:type="dxa"/>
          </w:tcPr>
          <w:p w14:paraId="1B72F6CA" w14:textId="77777777" w:rsidR="00BD37CE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</w:tr>
      <w:tr w:rsidR="00BD37CE" w:rsidRPr="005163A6" w14:paraId="1F64D38F" w14:textId="77777777" w:rsidTr="00CC2D1D">
        <w:tc>
          <w:tcPr>
            <w:tcW w:w="1705" w:type="dxa"/>
          </w:tcPr>
          <w:p w14:paraId="50E86E30" w14:textId="77777777" w:rsidR="00BD37CE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-122.00</w:t>
            </w:r>
          </w:p>
        </w:tc>
        <w:tc>
          <w:tcPr>
            <w:tcW w:w="7645" w:type="dxa"/>
          </w:tcPr>
          <w:p w14:paraId="7FD8132E" w14:textId="77777777" w:rsidR="00BD37CE" w:rsidRDefault="00BD37CE" w:rsidP="00CC2D1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Dust to Dazzle sponsors newspaper thank you</w:t>
            </w:r>
          </w:p>
        </w:tc>
      </w:tr>
      <w:tr w:rsidR="00BD37CE" w:rsidRPr="005163A6" w14:paraId="7B0065BD" w14:textId="77777777" w:rsidTr="00CC2D1D">
        <w:tc>
          <w:tcPr>
            <w:tcW w:w="1705" w:type="dxa"/>
            <w:tcBorders>
              <w:top w:val="triple" w:sz="4" w:space="0" w:color="auto"/>
            </w:tcBorders>
          </w:tcPr>
          <w:p w14:paraId="7A14D48F" w14:textId="77777777" w:rsidR="00BD37CE" w:rsidRPr="005163A6" w:rsidRDefault="00BD37CE" w:rsidP="00CC2D1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-$634.98</w:t>
            </w:r>
          </w:p>
        </w:tc>
        <w:tc>
          <w:tcPr>
            <w:tcW w:w="7645" w:type="dxa"/>
            <w:tcBorders>
              <w:top w:val="triple" w:sz="4" w:space="0" w:color="auto"/>
            </w:tcBorders>
          </w:tcPr>
          <w:p w14:paraId="0C2B7A52" w14:textId="77777777" w:rsidR="00BD37CE" w:rsidRPr="005163A6" w:rsidRDefault="00BD37CE" w:rsidP="00CC2D1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total</w:t>
            </w:r>
          </w:p>
        </w:tc>
      </w:tr>
    </w:tbl>
    <w:p w14:paraId="594C0E93" w14:textId="77777777" w:rsidR="00BD37CE" w:rsidRPr="005163A6" w:rsidRDefault="00BD37CE" w:rsidP="00BD37CE">
      <w:pPr>
        <w:pStyle w:val="BodyText"/>
        <w:rPr>
          <w:sz w:val="22"/>
        </w:rPr>
      </w:pPr>
    </w:p>
    <w:p w14:paraId="55D8149D" w14:textId="77777777" w:rsidR="00BD37CE" w:rsidRPr="005163A6" w:rsidRDefault="00BD37CE" w:rsidP="00BD37CE">
      <w:pPr>
        <w:pStyle w:val="BodyText"/>
        <w:rPr>
          <w:sz w:val="22"/>
        </w:rPr>
      </w:pPr>
      <w:r w:rsidRPr="005163A6">
        <w:rPr>
          <w:sz w:val="22"/>
        </w:rPr>
        <w:t xml:space="preserve">Checking/savings account totals </w:t>
      </w:r>
      <w:r>
        <w:rPr>
          <w:sz w:val="22"/>
        </w:rPr>
        <w:t>as of 7/19</w:t>
      </w:r>
      <w:r w:rsidRPr="005163A6">
        <w:rPr>
          <w:sz w:val="22"/>
        </w:rPr>
        <w:t xml:space="preserve">/2022 </w:t>
      </w:r>
      <w:r>
        <w:rPr>
          <w:rFonts w:cs="Times New Roman"/>
          <w:sz w:val="22"/>
        </w:rPr>
        <w:t>≈</w:t>
      </w:r>
      <w:r w:rsidRPr="005163A6">
        <w:rPr>
          <w:sz w:val="22"/>
        </w:rPr>
        <w:t xml:space="preserve"> $</w:t>
      </w:r>
      <w:r>
        <w:rPr>
          <w:sz w:val="22"/>
        </w:rPr>
        <w:t>55,764.38</w:t>
      </w:r>
    </w:p>
    <w:p w14:paraId="39389EC9" w14:textId="77777777" w:rsidR="00BD37CE" w:rsidRDefault="00BD37CE">
      <w:pPr>
        <w:spacing w:after="0" w:line="240" w:lineRule="auto"/>
        <w:rPr>
          <w:rFonts w:ascii="Georgia" w:hAnsi="Georgia"/>
        </w:rPr>
      </w:pPr>
    </w:p>
    <w:p w14:paraId="2F2ABB78" w14:textId="77777777" w:rsidR="007E1F8B" w:rsidRDefault="007E1F8B">
      <w:pPr>
        <w:spacing w:after="0" w:line="240" w:lineRule="auto"/>
        <w:rPr>
          <w:rFonts w:ascii="Georgia" w:hAnsi="Georgia"/>
        </w:rPr>
      </w:pPr>
    </w:p>
    <w:p w14:paraId="22DE1B40" w14:textId="77777777" w:rsidR="00E60A6B" w:rsidRDefault="00E60A6B" w:rsidP="00E60A6B">
      <w:pPr>
        <w:pStyle w:val="Heading1"/>
      </w:pPr>
      <w:r>
        <w:t>Butte Citizens for Preservation and Revitalization</w:t>
      </w:r>
    </w:p>
    <w:p w14:paraId="3DC83227" w14:textId="77777777" w:rsidR="00E60A6B" w:rsidRDefault="00E60A6B" w:rsidP="00E60A6B">
      <w:pPr>
        <w:pStyle w:val="Heading1"/>
      </w:pPr>
      <w:r>
        <w:t>Treasurer’s Report</w:t>
      </w:r>
    </w:p>
    <w:p w14:paraId="4438DC15" w14:textId="77777777" w:rsidR="00E60A6B" w:rsidRDefault="00E60A6B" w:rsidP="00E60A6B">
      <w:pPr>
        <w:pStyle w:val="Heading1"/>
      </w:pPr>
      <w:r>
        <w:t>Period May 17 through June 21, 2022</w:t>
      </w:r>
    </w:p>
    <w:p w14:paraId="545FEA45" w14:textId="77777777" w:rsidR="00E60A6B" w:rsidRPr="005163A6" w:rsidRDefault="00E60A6B" w:rsidP="00E60A6B">
      <w:pPr>
        <w:pStyle w:val="BodyText"/>
        <w:rPr>
          <w:sz w:val="22"/>
        </w:rPr>
      </w:pPr>
      <w:r w:rsidRPr="005163A6">
        <w:rPr>
          <w:sz w:val="22"/>
        </w:rPr>
        <w:t>Deposits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60A6B" w:rsidRPr="005163A6" w14:paraId="6B2591C6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7EAB2E55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Amount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081D67D9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Source</w:t>
            </w:r>
          </w:p>
        </w:tc>
      </w:tr>
      <w:tr w:rsidR="00E60A6B" w:rsidRPr="005163A6" w14:paraId="1FDAD4B3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1B563DA3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305.00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56874E7C" w14:textId="501C0D5C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Donations</w:t>
            </w:r>
          </w:p>
        </w:tc>
      </w:tr>
      <w:tr w:rsidR="00E60A6B" w:rsidRPr="005163A6" w14:paraId="024386D2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291E8EDA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150.00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145B010A" w14:textId="63B99EE9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</w:tr>
      <w:tr w:rsidR="00E60A6B" w:rsidRPr="005163A6" w14:paraId="28322A02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7397E3E1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300.00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250E146C" w14:textId="77777777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Dust to Dazzle sponsorships</w:t>
            </w:r>
          </w:p>
        </w:tc>
      </w:tr>
      <w:tr w:rsidR="00E60A6B" w:rsidRPr="005163A6" w14:paraId="4E85F613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2782601A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130.00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4FAD82F6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sa</w:t>
            </w:r>
            <w:r>
              <w:rPr>
                <w:sz w:val="22"/>
              </w:rPr>
              <w:t>l</w:t>
            </w:r>
            <w:r w:rsidRPr="005163A6">
              <w:rPr>
                <w:sz w:val="22"/>
              </w:rPr>
              <w:t>vage sale</w:t>
            </w:r>
          </w:p>
        </w:tc>
      </w:tr>
      <w:tr w:rsidR="00E60A6B" w:rsidRPr="005163A6" w14:paraId="244BB6D1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043E2786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3,575.85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5F7EF361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SARTA grant: Butte Historic Trust</w:t>
            </w:r>
          </w:p>
        </w:tc>
      </w:tr>
      <w:tr w:rsidR="00E60A6B" w:rsidRPr="005163A6" w14:paraId="77B07075" w14:textId="77777777" w:rsidTr="00F22B3D">
        <w:tc>
          <w:tcPr>
            <w:tcW w:w="1705" w:type="dxa"/>
            <w:tcBorders>
              <w:top w:val="triple" w:sz="4" w:space="0" w:color="auto"/>
            </w:tcBorders>
          </w:tcPr>
          <w:p w14:paraId="07B13CF5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$4,460.85</w:t>
            </w:r>
          </w:p>
        </w:tc>
        <w:tc>
          <w:tcPr>
            <w:tcW w:w="7645" w:type="dxa"/>
            <w:tcBorders>
              <w:top w:val="triple" w:sz="4" w:space="0" w:color="auto"/>
            </w:tcBorders>
          </w:tcPr>
          <w:p w14:paraId="357C2BFE" w14:textId="10951BD7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</w:tbl>
    <w:p w14:paraId="46D739C1" w14:textId="77777777" w:rsidR="00E60A6B" w:rsidRPr="005163A6" w:rsidRDefault="00E60A6B" w:rsidP="00E60A6B">
      <w:pPr>
        <w:pStyle w:val="BodyText"/>
        <w:rPr>
          <w:sz w:val="22"/>
        </w:rPr>
      </w:pPr>
    </w:p>
    <w:p w14:paraId="49CF87B1" w14:textId="77777777" w:rsidR="00E60A6B" w:rsidRPr="005163A6" w:rsidRDefault="00E60A6B" w:rsidP="00E60A6B">
      <w:pPr>
        <w:pStyle w:val="BodyText"/>
        <w:rPr>
          <w:sz w:val="22"/>
        </w:rPr>
      </w:pPr>
      <w:r w:rsidRPr="005163A6">
        <w:rPr>
          <w:sz w:val="22"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60A6B" w:rsidRPr="005163A6" w14:paraId="571284D6" w14:textId="77777777" w:rsidTr="00F22B3D">
        <w:tc>
          <w:tcPr>
            <w:tcW w:w="1705" w:type="dxa"/>
          </w:tcPr>
          <w:p w14:paraId="39955E54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Amount</w:t>
            </w:r>
          </w:p>
        </w:tc>
        <w:tc>
          <w:tcPr>
            <w:tcW w:w="7645" w:type="dxa"/>
          </w:tcPr>
          <w:p w14:paraId="32508BDE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Purpose</w:t>
            </w:r>
          </w:p>
        </w:tc>
      </w:tr>
      <w:tr w:rsidR="00E60A6B" w:rsidRPr="005163A6" w14:paraId="0187E456" w14:textId="77777777" w:rsidTr="00F22B3D">
        <w:tc>
          <w:tcPr>
            <w:tcW w:w="1705" w:type="dxa"/>
          </w:tcPr>
          <w:p w14:paraId="7C7EE0A0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-581.25</w:t>
            </w:r>
          </w:p>
        </w:tc>
        <w:tc>
          <w:tcPr>
            <w:tcW w:w="7645" w:type="dxa"/>
          </w:tcPr>
          <w:p w14:paraId="2A7C66FE" w14:textId="6B83AB86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admin. Coordinator</w:t>
            </w:r>
          </w:p>
        </w:tc>
      </w:tr>
      <w:tr w:rsidR="00E60A6B" w:rsidRPr="005163A6" w14:paraId="0CE0121B" w14:textId="77777777" w:rsidTr="00F22B3D">
        <w:tc>
          <w:tcPr>
            <w:tcW w:w="1705" w:type="dxa"/>
          </w:tcPr>
          <w:p w14:paraId="554F6459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-100.00</w:t>
            </w:r>
          </w:p>
        </w:tc>
        <w:tc>
          <w:tcPr>
            <w:tcW w:w="7645" w:type="dxa"/>
          </w:tcPr>
          <w:p w14:paraId="61C99182" w14:textId="0AA87FF9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Rent</w:t>
            </w:r>
          </w:p>
        </w:tc>
      </w:tr>
      <w:tr w:rsidR="00E60A6B" w:rsidRPr="005163A6" w14:paraId="59F89953" w14:textId="77777777" w:rsidTr="00F22B3D">
        <w:tc>
          <w:tcPr>
            <w:tcW w:w="1705" w:type="dxa"/>
          </w:tcPr>
          <w:p w14:paraId="0B233C2D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-3,575.85</w:t>
            </w:r>
          </w:p>
        </w:tc>
        <w:tc>
          <w:tcPr>
            <w:tcW w:w="7645" w:type="dxa"/>
          </w:tcPr>
          <w:p w14:paraId="61C83DD2" w14:textId="77777777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SARTA grant: Butte Historic Trust</w:t>
            </w:r>
          </w:p>
        </w:tc>
      </w:tr>
      <w:tr w:rsidR="00E60A6B" w:rsidRPr="005163A6" w14:paraId="718EACF5" w14:textId="77777777" w:rsidTr="00F22B3D">
        <w:tc>
          <w:tcPr>
            <w:tcW w:w="1705" w:type="dxa"/>
          </w:tcPr>
          <w:p w14:paraId="311EDE8B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-200.00</w:t>
            </w:r>
          </w:p>
        </w:tc>
        <w:tc>
          <w:tcPr>
            <w:tcW w:w="7645" w:type="dxa"/>
          </w:tcPr>
          <w:p w14:paraId="084C48BA" w14:textId="77777777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Story of Butte promotional stickers</w:t>
            </w:r>
          </w:p>
        </w:tc>
      </w:tr>
      <w:tr w:rsidR="00E60A6B" w:rsidRPr="005163A6" w14:paraId="5EF71C74" w14:textId="77777777" w:rsidTr="00F22B3D">
        <w:tc>
          <w:tcPr>
            <w:tcW w:w="1705" w:type="dxa"/>
            <w:tcBorders>
              <w:top w:val="triple" w:sz="4" w:space="0" w:color="auto"/>
            </w:tcBorders>
          </w:tcPr>
          <w:p w14:paraId="098E2559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-$4,457.105</w:t>
            </w:r>
          </w:p>
        </w:tc>
        <w:tc>
          <w:tcPr>
            <w:tcW w:w="7645" w:type="dxa"/>
            <w:tcBorders>
              <w:top w:val="triple" w:sz="4" w:space="0" w:color="auto"/>
            </w:tcBorders>
          </w:tcPr>
          <w:p w14:paraId="2D3B8201" w14:textId="6C8E3E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Total</w:t>
            </w:r>
          </w:p>
        </w:tc>
      </w:tr>
    </w:tbl>
    <w:p w14:paraId="490B81E8" w14:textId="77777777" w:rsidR="00E60A6B" w:rsidRPr="005163A6" w:rsidRDefault="00E60A6B" w:rsidP="00E60A6B">
      <w:pPr>
        <w:pStyle w:val="BodyText"/>
        <w:rPr>
          <w:sz w:val="22"/>
        </w:rPr>
      </w:pPr>
    </w:p>
    <w:p w14:paraId="59836D1C" w14:textId="77777777" w:rsidR="00E60A6B" w:rsidRPr="005163A6" w:rsidRDefault="00E60A6B" w:rsidP="00E60A6B">
      <w:pPr>
        <w:pStyle w:val="BodyText"/>
        <w:rPr>
          <w:sz w:val="22"/>
        </w:rPr>
      </w:pPr>
      <w:r w:rsidRPr="005163A6">
        <w:rPr>
          <w:sz w:val="22"/>
        </w:rPr>
        <w:t xml:space="preserve">Checking/savings account totals </w:t>
      </w:r>
      <w:r>
        <w:rPr>
          <w:sz w:val="22"/>
        </w:rPr>
        <w:t>6/21</w:t>
      </w:r>
      <w:r w:rsidRPr="005163A6">
        <w:rPr>
          <w:sz w:val="22"/>
        </w:rPr>
        <w:t xml:space="preserve">/2022 </w:t>
      </w:r>
      <w:r>
        <w:rPr>
          <w:rFonts w:cs="Times New Roman"/>
          <w:sz w:val="22"/>
        </w:rPr>
        <w:t>≈</w:t>
      </w:r>
      <w:r w:rsidRPr="005163A6">
        <w:rPr>
          <w:sz w:val="22"/>
        </w:rPr>
        <w:t xml:space="preserve"> $</w:t>
      </w:r>
      <w:r>
        <w:rPr>
          <w:sz w:val="22"/>
        </w:rPr>
        <w:t>44,658.36</w:t>
      </w:r>
    </w:p>
    <w:p w14:paraId="21FD9E1F" w14:textId="77777777" w:rsidR="00E60A6B" w:rsidRPr="005163A6" w:rsidRDefault="00E60A6B" w:rsidP="00E60A6B">
      <w:pPr>
        <w:pStyle w:val="NoSpacing"/>
        <w:spacing w:before="240"/>
      </w:pPr>
      <w:r w:rsidRPr="005163A6">
        <w:t>accounts payable ≈ $1</w:t>
      </w:r>
      <w:r>
        <w:t>6</w:t>
      </w:r>
      <w:r w:rsidRPr="005163A6">
        <w:t xml:space="preserve">,000.00 for Basin Creek and HIP grants (committed; paid incrementally </w:t>
      </w:r>
    </w:p>
    <w:p w14:paraId="19A7C1AA" w14:textId="77777777" w:rsidR="00E60A6B" w:rsidRDefault="00E60A6B" w:rsidP="00E60A6B">
      <w:pPr>
        <w:pStyle w:val="NoSpacing"/>
        <w:ind w:left="1680" w:firstLine="480"/>
      </w:pPr>
      <w:r w:rsidRPr="005163A6">
        <w:t>to 12/2022)</w:t>
      </w:r>
    </w:p>
    <w:p w14:paraId="53BD454A" w14:textId="77777777" w:rsidR="00E60A6B" w:rsidRDefault="00E60A6B" w:rsidP="00E60A6B">
      <w:pPr>
        <w:pStyle w:val="NoSpacing"/>
        <w:ind w:left="1680" w:firstLine="480"/>
      </w:pPr>
    </w:p>
    <w:p w14:paraId="1F17FA02" w14:textId="77777777" w:rsidR="00E60A6B" w:rsidRPr="005163A6" w:rsidRDefault="00E60A6B" w:rsidP="00E60A6B">
      <w:pPr>
        <w:pStyle w:val="NoSpacing"/>
      </w:pPr>
    </w:p>
    <w:p w14:paraId="5B968414" w14:textId="265B477E" w:rsidR="009F23C3" w:rsidRPr="00376F9A" w:rsidRDefault="009F23C3" w:rsidP="00E60A6B">
      <w:pPr>
        <w:pStyle w:val="Heading1"/>
        <w:rPr>
          <w:rFonts w:ascii="Georgia" w:hAnsi="Georgia"/>
          <w:sz w:val="20"/>
          <w:szCs w:val="20"/>
        </w:rPr>
      </w:pPr>
    </w:p>
    <w:sectPr w:rsidR="009F23C3" w:rsidRPr="00376F9A" w:rsidSect="00E60A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785F" w14:textId="77777777" w:rsidR="00804A19" w:rsidRDefault="00804A19" w:rsidP="0089454B">
      <w:pPr>
        <w:spacing w:after="0" w:line="240" w:lineRule="auto"/>
      </w:pPr>
      <w:r>
        <w:separator/>
      </w:r>
    </w:p>
  </w:endnote>
  <w:endnote w:type="continuationSeparator" w:id="0">
    <w:p w14:paraId="3A028B8E" w14:textId="77777777" w:rsidR="00804A19" w:rsidRDefault="00804A19" w:rsidP="008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C057" w14:textId="77777777" w:rsidR="00804A19" w:rsidRDefault="00804A19" w:rsidP="0089454B">
      <w:pPr>
        <w:spacing w:after="0" w:line="240" w:lineRule="auto"/>
      </w:pPr>
      <w:r>
        <w:separator/>
      </w:r>
    </w:p>
  </w:footnote>
  <w:footnote w:type="continuationSeparator" w:id="0">
    <w:p w14:paraId="13119AAD" w14:textId="77777777" w:rsidR="00804A19" w:rsidRDefault="00804A19" w:rsidP="0089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9FB3" w14:textId="77777777" w:rsidR="0089454B" w:rsidRDefault="0089454B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107"/>
    <w:multiLevelType w:val="hybridMultilevel"/>
    <w:tmpl w:val="AAA88FC2"/>
    <w:lvl w:ilvl="0" w:tplc="0409000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B94D86"/>
    <w:multiLevelType w:val="hybridMultilevel"/>
    <w:tmpl w:val="AFB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2310"/>
    <w:multiLevelType w:val="hybridMultilevel"/>
    <w:tmpl w:val="CA8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B4"/>
    <w:multiLevelType w:val="hybridMultilevel"/>
    <w:tmpl w:val="D62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13C1"/>
    <w:multiLevelType w:val="hybridMultilevel"/>
    <w:tmpl w:val="F11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7CE0"/>
    <w:multiLevelType w:val="hybridMultilevel"/>
    <w:tmpl w:val="E38C3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12F"/>
    <w:multiLevelType w:val="hybridMultilevel"/>
    <w:tmpl w:val="5FE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3335"/>
    <w:multiLevelType w:val="hybridMultilevel"/>
    <w:tmpl w:val="8E6AE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00E5"/>
    <w:multiLevelType w:val="hybridMultilevel"/>
    <w:tmpl w:val="7C8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316FE"/>
    <w:multiLevelType w:val="hybridMultilevel"/>
    <w:tmpl w:val="A458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7679F"/>
    <w:multiLevelType w:val="hybridMultilevel"/>
    <w:tmpl w:val="3C1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1134"/>
    <w:multiLevelType w:val="hybridMultilevel"/>
    <w:tmpl w:val="4B5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72EE7"/>
    <w:multiLevelType w:val="hybridMultilevel"/>
    <w:tmpl w:val="3BD85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C1952"/>
    <w:multiLevelType w:val="hybridMultilevel"/>
    <w:tmpl w:val="048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3935"/>
    <w:multiLevelType w:val="hybridMultilevel"/>
    <w:tmpl w:val="D03C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27D9"/>
    <w:multiLevelType w:val="hybridMultilevel"/>
    <w:tmpl w:val="B67E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7680C"/>
    <w:multiLevelType w:val="hybridMultilevel"/>
    <w:tmpl w:val="AE3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619"/>
    <w:multiLevelType w:val="hybridMultilevel"/>
    <w:tmpl w:val="646CF6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0331E"/>
    <w:multiLevelType w:val="hybridMultilevel"/>
    <w:tmpl w:val="698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6593"/>
    <w:multiLevelType w:val="hybridMultilevel"/>
    <w:tmpl w:val="0A70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1D12"/>
    <w:multiLevelType w:val="hybridMultilevel"/>
    <w:tmpl w:val="C6E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A3A71"/>
    <w:multiLevelType w:val="hybridMultilevel"/>
    <w:tmpl w:val="91B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04B15"/>
    <w:multiLevelType w:val="hybridMultilevel"/>
    <w:tmpl w:val="74C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E4923"/>
    <w:multiLevelType w:val="hybridMultilevel"/>
    <w:tmpl w:val="B7C6D2E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56708"/>
    <w:multiLevelType w:val="hybridMultilevel"/>
    <w:tmpl w:val="ED4E7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3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24"/>
  </w:num>
  <w:num w:numId="10">
    <w:abstractNumId w:val="3"/>
  </w:num>
  <w:num w:numId="11">
    <w:abstractNumId w:val="19"/>
  </w:num>
  <w:num w:numId="12">
    <w:abstractNumId w:val="22"/>
  </w:num>
  <w:num w:numId="13">
    <w:abstractNumId w:val="6"/>
  </w:num>
  <w:num w:numId="14">
    <w:abstractNumId w:val="18"/>
  </w:num>
  <w:num w:numId="15">
    <w:abstractNumId w:val="4"/>
  </w:num>
  <w:num w:numId="16">
    <w:abstractNumId w:val="8"/>
  </w:num>
  <w:num w:numId="17">
    <w:abstractNumId w:val="11"/>
  </w:num>
  <w:num w:numId="18">
    <w:abstractNumId w:val="16"/>
  </w:num>
  <w:num w:numId="19">
    <w:abstractNumId w:val="20"/>
  </w:num>
  <w:num w:numId="20">
    <w:abstractNumId w:val="10"/>
  </w:num>
  <w:num w:numId="21">
    <w:abstractNumId w:val="13"/>
  </w:num>
  <w:num w:numId="22">
    <w:abstractNumId w:val="9"/>
  </w:num>
  <w:num w:numId="23">
    <w:abstractNumId w:val="15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86"/>
    <w:rsid w:val="0000022F"/>
    <w:rsid w:val="000060B1"/>
    <w:rsid w:val="0002094B"/>
    <w:rsid w:val="000275EA"/>
    <w:rsid w:val="000320BB"/>
    <w:rsid w:val="00044077"/>
    <w:rsid w:val="000443E2"/>
    <w:rsid w:val="00047AA3"/>
    <w:rsid w:val="000707EB"/>
    <w:rsid w:val="000A700D"/>
    <w:rsid w:val="000C2A8A"/>
    <w:rsid w:val="000D6BE3"/>
    <w:rsid w:val="000E42F0"/>
    <w:rsid w:val="000F23E2"/>
    <w:rsid w:val="000F6176"/>
    <w:rsid w:val="0010252A"/>
    <w:rsid w:val="00107ED2"/>
    <w:rsid w:val="001110ED"/>
    <w:rsid w:val="0012124E"/>
    <w:rsid w:val="00122FB9"/>
    <w:rsid w:val="001345C9"/>
    <w:rsid w:val="00143E64"/>
    <w:rsid w:val="00155512"/>
    <w:rsid w:val="00177A54"/>
    <w:rsid w:val="00192581"/>
    <w:rsid w:val="001A2286"/>
    <w:rsid w:val="001B4E8E"/>
    <w:rsid w:val="001B4F08"/>
    <w:rsid w:val="001C69CF"/>
    <w:rsid w:val="001F57D9"/>
    <w:rsid w:val="00206FE3"/>
    <w:rsid w:val="002111B7"/>
    <w:rsid w:val="00212372"/>
    <w:rsid w:val="00213945"/>
    <w:rsid w:val="002322DC"/>
    <w:rsid w:val="002425C2"/>
    <w:rsid w:val="0024774E"/>
    <w:rsid w:val="0025590B"/>
    <w:rsid w:val="002602C2"/>
    <w:rsid w:val="0026368A"/>
    <w:rsid w:val="00271F94"/>
    <w:rsid w:val="00276F58"/>
    <w:rsid w:val="002A28BD"/>
    <w:rsid w:val="002B0FE9"/>
    <w:rsid w:val="002B7917"/>
    <w:rsid w:val="002C7890"/>
    <w:rsid w:val="002E717E"/>
    <w:rsid w:val="002F12FA"/>
    <w:rsid w:val="002F6A59"/>
    <w:rsid w:val="002F7B91"/>
    <w:rsid w:val="0030061C"/>
    <w:rsid w:val="003072DA"/>
    <w:rsid w:val="0031046A"/>
    <w:rsid w:val="00310D62"/>
    <w:rsid w:val="0034383F"/>
    <w:rsid w:val="00343F14"/>
    <w:rsid w:val="00376F9A"/>
    <w:rsid w:val="003829B5"/>
    <w:rsid w:val="0038572D"/>
    <w:rsid w:val="0039300F"/>
    <w:rsid w:val="00397DC2"/>
    <w:rsid w:val="003A464A"/>
    <w:rsid w:val="003B48D0"/>
    <w:rsid w:val="003B5F5D"/>
    <w:rsid w:val="003C0F0C"/>
    <w:rsid w:val="003D7C5C"/>
    <w:rsid w:val="004113F8"/>
    <w:rsid w:val="00412548"/>
    <w:rsid w:val="00416A15"/>
    <w:rsid w:val="00420C96"/>
    <w:rsid w:val="004267C2"/>
    <w:rsid w:val="00442552"/>
    <w:rsid w:val="00454CA2"/>
    <w:rsid w:val="004743B5"/>
    <w:rsid w:val="00490F2B"/>
    <w:rsid w:val="00495DBD"/>
    <w:rsid w:val="004A140B"/>
    <w:rsid w:val="004A238C"/>
    <w:rsid w:val="004B277E"/>
    <w:rsid w:val="004D1A13"/>
    <w:rsid w:val="004D61E7"/>
    <w:rsid w:val="004E3BB0"/>
    <w:rsid w:val="004F3E41"/>
    <w:rsid w:val="004F469E"/>
    <w:rsid w:val="00517B07"/>
    <w:rsid w:val="0054268D"/>
    <w:rsid w:val="00547FB1"/>
    <w:rsid w:val="00556575"/>
    <w:rsid w:val="00583D64"/>
    <w:rsid w:val="00587B44"/>
    <w:rsid w:val="005A6917"/>
    <w:rsid w:val="005B5AF8"/>
    <w:rsid w:val="005D446F"/>
    <w:rsid w:val="005E3308"/>
    <w:rsid w:val="00601D3C"/>
    <w:rsid w:val="00623731"/>
    <w:rsid w:val="00625F6C"/>
    <w:rsid w:val="00656E7D"/>
    <w:rsid w:val="00657C42"/>
    <w:rsid w:val="006828EB"/>
    <w:rsid w:val="006A0EDC"/>
    <w:rsid w:val="006B0F65"/>
    <w:rsid w:val="006D1DA4"/>
    <w:rsid w:val="00706A92"/>
    <w:rsid w:val="00740BC1"/>
    <w:rsid w:val="007420A2"/>
    <w:rsid w:val="00786660"/>
    <w:rsid w:val="00793F85"/>
    <w:rsid w:val="007A2108"/>
    <w:rsid w:val="007A7BBF"/>
    <w:rsid w:val="007B02F2"/>
    <w:rsid w:val="007B55E0"/>
    <w:rsid w:val="007B5EE4"/>
    <w:rsid w:val="007C0751"/>
    <w:rsid w:val="007D15FF"/>
    <w:rsid w:val="007D2AC0"/>
    <w:rsid w:val="007E1791"/>
    <w:rsid w:val="007E1F8B"/>
    <w:rsid w:val="007E62EE"/>
    <w:rsid w:val="00804A19"/>
    <w:rsid w:val="008104B6"/>
    <w:rsid w:val="00811125"/>
    <w:rsid w:val="00821BB8"/>
    <w:rsid w:val="008432D1"/>
    <w:rsid w:val="00853C25"/>
    <w:rsid w:val="00860498"/>
    <w:rsid w:val="008624D0"/>
    <w:rsid w:val="00863B1A"/>
    <w:rsid w:val="00865245"/>
    <w:rsid w:val="00894005"/>
    <w:rsid w:val="0089454B"/>
    <w:rsid w:val="00896FEC"/>
    <w:rsid w:val="008B40DA"/>
    <w:rsid w:val="008B50E4"/>
    <w:rsid w:val="008B55C8"/>
    <w:rsid w:val="008D0CB9"/>
    <w:rsid w:val="008D3D05"/>
    <w:rsid w:val="008E7A22"/>
    <w:rsid w:val="008F62CB"/>
    <w:rsid w:val="009012D8"/>
    <w:rsid w:val="009048AF"/>
    <w:rsid w:val="00906005"/>
    <w:rsid w:val="0091342F"/>
    <w:rsid w:val="0091504F"/>
    <w:rsid w:val="00916495"/>
    <w:rsid w:val="0091696B"/>
    <w:rsid w:val="0093119E"/>
    <w:rsid w:val="00962519"/>
    <w:rsid w:val="00977D37"/>
    <w:rsid w:val="00981581"/>
    <w:rsid w:val="009A644D"/>
    <w:rsid w:val="009A7087"/>
    <w:rsid w:val="009A7F19"/>
    <w:rsid w:val="009B4B7C"/>
    <w:rsid w:val="009B66A5"/>
    <w:rsid w:val="009B7D4F"/>
    <w:rsid w:val="009B7D87"/>
    <w:rsid w:val="009D2B41"/>
    <w:rsid w:val="009E1E2A"/>
    <w:rsid w:val="009E36A4"/>
    <w:rsid w:val="009E37C8"/>
    <w:rsid w:val="009E42C7"/>
    <w:rsid w:val="009F0CC4"/>
    <w:rsid w:val="009F23C3"/>
    <w:rsid w:val="00A053EA"/>
    <w:rsid w:val="00A07FD2"/>
    <w:rsid w:val="00A33A2A"/>
    <w:rsid w:val="00A37BC1"/>
    <w:rsid w:val="00A40787"/>
    <w:rsid w:val="00A407FC"/>
    <w:rsid w:val="00A44906"/>
    <w:rsid w:val="00A46B81"/>
    <w:rsid w:val="00A53C87"/>
    <w:rsid w:val="00A60D53"/>
    <w:rsid w:val="00A62E5A"/>
    <w:rsid w:val="00A73D7A"/>
    <w:rsid w:val="00A7640E"/>
    <w:rsid w:val="00A77DDB"/>
    <w:rsid w:val="00A92563"/>
    <w:rsid w:val="00A95F91"/>
    <w:rsid w:val="00AB14EF"/>
    <w:rsid w:val="00AB381D"/>
    <w:rsid w:val="00AB54A4"/>
    <w:rsid w:val="00AE099D"/>
    <w:rsid w:val="00AE2360"/>
    <w:rsid w:val="00AF4E45"/>
    <w:rsid w:val="00AF597B"/>
    <w:rsid w:val="00B03379"/>
    <w:rsid w:val="00B05A0C"/>
    <w:rsid w:val="00B461EC"/>
    <w:rsid w:val="00B77DCC"/>
    <w:rsid w:val="00B85CA0"/>
    <w:rsid w:val="00B947AB"/>
    <w:rsid w:val="00BB2412"/>
    <w:rsid w:val="00BB3EBE"/>
    <w:rsid w:val="00BC0017"/>
    <w:rsid w:val="00BD37CE"/>
    <w:rsid w:val="00BE07B0"/>
    <w:rsid w:val="00BE150A"/>
    <w:rsid w:val="00BE68A7"/>
    <w:rsid w:val="00C333C4"/>
    <w:rsid w:val="00C448DD"/>
    <w:rsid w:val="00C76CEB"/>
    <w:rsid w:val="00C90A0C"/>
    <w:rsid w:val="00C95B69"/>
    <w:rsid w:val="00CC433B"/>
    <w:rsid w:val="00CD37CE"/>
    <w:rsid w:val="00CD6CB4"/>
    <w:rsid w:val="00CE6E58"/>
    <w:rsid w:val="00D00C9E"/>
    <w:rsid w:val="00D02BCA"/>
    <w:rsid w:val="00D03723"/>
    <w:rsid w:val="00D260A6"/>
    <w:rsid w:val="00D31EFE"/>
    <w:rsid w:val="00D55849"/>
    <w:rsid w:val="00D619E5"/>
    <w:rsid w:val="00D71291"/>
    <w:rsid w:val="00D81076"/>
    <w:rsid w:val="00D823B8"/>
    <w:rsid w:val="00DA6514"/>
    <w:rsid w:val="00DB45D7"/>
    <w:rsid w:val="00DB6277"/>
    <w:rsid w:val="00DC0CD0"/>
    <w:rsid w:val="00DC76EF"/>
    <w:rsid w:val="00DF458E"/>
    <w:rsid w:val="00DF4AC3"/>
    <w:rsid w:val="00E1478B"/>
    <w:rsid w:val="00E1614F"/>
    <w:rsid w:val="00E24231"/>
    <w:rsid w:val="00E307BD"/>
    <w:rsid w:val="00E34FF8"/>
    <w:rsid w:val="00E54403"/>
    <w:rsid w:val="00E5798B"/>
    <w:rsid w:val="00E60A6B"/>
    <w:rsid w:val="00E83538"/>
    <w:rsid w:val="00EA0501"/>
    <w:rsid w:val="00EA080D"/>
    <w:rsid w:val="00EB264F"/>
    <w:rsid w:val="00EC1667"/>
    <w:rsid w:val="00EC5161"/>
    <w:rsid w:val="00EF02A6"/>
    <w:rsid w:val="00F14BDA"/>
    <w:rsid w:val="00F1530A"/>
    <w:rsid w:val="00F35EF1"/>
    <w:rsid w:val="00F42494"/>
    <w:rsid w:val="00F46177"/>
    <w:rsid w:val="00F46386"/>
    <w:rsid w:val="00F60C1D"/>
    <w:rsid w:val="00F71E56"/>
    <w:rsid w:val="00F750AE"/>
    <w:rsid w:val="00F77656"/>
    <w:rsid w:val="00F80959"/>
    <w:rsid w:val="00FA415E"/>
    <w:rsid w:val="00FB2514"/>
    <w:rsid w:val="00FC3CC8"/>
    <w:rsid w:val="00FF0A12"/>
    <w:rsid w:val="00FF187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020A6"/>
  <w15:docId w15:val="{8141BCE9-17D7-49FA-82A2-A0AE355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5C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autoRedefine/>
    <w:qFormat/>
    <w:rsid w:val="0002094B"/>
    <w:pPr>
      <w:keepNext/>
      <w:widowControl w:val="0"/>
      <w:autoSpaceDE w:val="0"/>
      <w:autoSpaceDN w:val="0"/>
      <w:spacing w:before="120" w:after="60" w:line="259" w:lineRule="auto"/>
      <w:jc w:val="center"/>
      <w:outlineLvl w:val="0"/>
    </w:pPr>
    <w:rPr>
      <w:rFonts w:ascii="Times New Roman" w:eastAsiaTheme="minorHAnsi" w:hAnsi="Times New Roman"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1B4F08"/>
    <w:rPr>
      <w:rFonts w:ascii="Georgia" w:hAnsi="Georgia" w:cs="Times New Roman"/>
      <w:b/>
      <w:sz w:val="28"/>
    </w:rPr>
  </w:style>
  <w:style w:type="character" w:styleId="Hyperlink">
    <w:name w:val="Hyperlink"/>
    <w:basedOn w:val="DefaultParagraphFont"/>
    <w:uiPriority w:val="99"/>
    <w:rsid w:val="004F46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0F65"/>
    <w:pPr>
      <w:ind w:left="720"/>
    </w:pPr>
  </w:style>
  <w:style w:type="paragraph" w:styleId="NoSpacing">
    <w:name w:val="No Spacing"/>
    <w:qFormat/>
    <w:rsid w:val="00310D62"/>
  </w:style>
  <w:style w:type="character" w:styleId="Strong">
    <w:name w:val="Strong"/>
    <w:basedOn w:val="DefaultParagraphFont"/>
    <w:uiPriority w:val="22"/>
    <w:qFormat/>
    <w:rsid w:val="00682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4B"/>
  </w:style>
  <w:style w:type="paragraph" w:styleId="Footer">
    <w:name w:val="footer"/>
    <w:basedOn w:val="Normal"/>
    <w:link w:val="Foot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4B"/>
  </w:style>
  <w:style w:type="character" w:styleId="UnresolvedMention">
    <w:name w:val="Unresolved Mention"/>
    <w:basedOn w:val="DefaultParagraphFont"/>
    <w:uiPriority w:val="99"/>
    <w:semiHidden/>
    <w:unhideWhenUsed/>
    <w:rsid w:val="002F6A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094B"/>
    <w:rPr>
      <w:rFonts w:ascii="Times New Roman" w:eastAsiaTheme="minorHAnsi" w:hAnsi="Times New Roman" w:cs="Arial"/>
      <w:b/>
      <w:bCs/>
      <w:caps/>
      <w:kern w:val="32"/>
      <w:sz w:val="24"/>
    </w:rPr>
  </w:style>
  <w:style w:type="paragraph" w:styleId="BodyText">
    <w:name w:val="Body Text"/>
    <w:basedOn w:val="Normal"/>
    <w:link w:val="BodyTextChar"/>
    <w:autoRedefine/>
    <w:rsid w:val="0002094B"/>
    <w:pPr>
      <w:spacing w:after="160" w:line="259" w:lineRule="auto"/>
    </w:pPr>
    <w:rPr>
      <w:rFonts w:ascii="Times New Roman" w:eastAsiaTheme="minorHAnsi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02094B"/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rsid w:val="000209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E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0">
    <w:name w:val="TableGrid"/>
    <w:rsid w:val="00376F9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CPR Monthly Meeting</vt:lpstr>
    </vt:vector>
  </TitlesOfParts>
  <Company>Hewlett-Packard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CPR Monthly Meeting</dc:title>
  <dc:creator>buttecpr</dc:creator>
  <cp:lastModifiedBy>Irene and Don Scheidecker</cp:lastModifiedBy>
  <cp:revision>4</cp:revision>
  <cp:lastPrinted>2022-04-19T23:29:00Z</cp:lastPrinted>
  <dcterms:created xsi:type="dcterms:W3CDTF">2022-07-26T19:25:00Z</dcterms:created>
  <dcterms:modified xsi:type="dcterms:W3CDTF">2022-09-20T19:13:00Z</dcterms:modified>
</cp:coreProperties>
</file>